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1CD6E564" w:rsidR="00B873ED" w:rsidRPr="00C14403" w:rsidRDefault="00F36722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2036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73E6FCA7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CB3C78">
        <w:rPr>
          <w:rFonts w:ascii="Times New Roman" w:hAnsi="Times New Roman" w:cs="Times New Roman"/>
          <w:b/>
          <w:bCs/>
          <w:sz w:val="24"/>
          <w:szCs w:val="24"/>
          <w:lang w:val="uk-UA"/>
        </w:rPr>
        <w:t>84801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CB3C78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CB3C78">
        <w:rPr>
          <w:rFonts w:ascii="Times New Roman" w:hAnsi="Times New Roman" w:cs="Times New Roman"/>
          <w:b/>
          <w:bCs/>
          <w:sz w:val="24"/>
          <w:szCs w:val="24"/>
          <w:lang w:val="uk-UA"/>
        </w:rPr>
        <w:t>184</w:t>
      </w:r>
    </w:p>
    <w:p w14:paraId="6FA44161" w14:textId="2B775D97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 xml:space="preserve"> ---------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84801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184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54BB1C2B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будівель і споруд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ради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84801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184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ТОВ 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 xml:space="preserve"> КСЦ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Гудвіл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6E35740E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65371">
        <w:rPr>
          <w:rFonts w:ascii="Times New Roman" w:hAnsi="Times New Roman" w:cs="Times New Roman"/>
          <w:bCs/>
          <w:sz w:val="24"/>
          <w:szCs w:val="24"/>
          <w:lang w:val="uk-UA"/>
        </w:rPr>
        <w:t>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65371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84801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D7013">
        <w:rPr>
          <w:rFonts w:ascii="Times New Roman" w:hAnsi="Times New Roman" w:cs="Times New Roman"/>
          <w:sz w:val="24"/>
          <w:szCs w:val="24"/>
          <w:lang w:val="uk-UA"/>
        </w:rPr>
        <w:t>184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078927" w14:textId="2FA69569" w:rsidR="0089093C" w:rsidRPr="00960986" w:rsidRDefault="00E65371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033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24BE980A" w:rsidR="004677A0" w:rsidRPr="00E65371" w:rsidRDefault="00A0626B" w:rsidP="00E65371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E65371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47ED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2C5E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D7013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7689E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3F7F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17854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C78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537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36722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2025-10-30T07:19:00Z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