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0DE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F43F40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F5824B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94313D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DA9A99D" w14:textId="521B25C2" w:rsidR="001A034B" w:rsidRPr="006D6CEB" w:rsidRDefault="00A8633A" w:rsidP="006D6CEB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квітня </w:t>
      </w:r>
      <w:r w:rsidR="00154248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C80F51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</w:t>
      </w:r>
      <w:r w:rsidR="0060424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604246">
        <w:rPr>
          <w:sz w:val="28"/>
          <w:szCs w:val="28"/>
          <w:lang w:val="uk-UA"/>
        </w:rPr>
        <w:t xml:space="preserve"> </w:t>
      </w:r>
      <w:r w:rsidR="00247BB2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154248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604</w:t>
      </w:r>
      <w:r w:rsidR="00836895">
        <w:rPr>
          <w:sz w:val="28"/>
          <w:szCs w:val="28"/>
          <w:lang w:val="uk-UA"/>
        </w:rPr>
        <w:t xml:space="preserve">                                           </w:t>
      </w:r>
    </w:p>
    <w:p w14:paraId="62EB42E0" w14:textId="77777777" w:rsidR="00E61AD0" w:rsidRDefault="00E61AD0" w:rsidP="00E61AD0">
      <w:pPr>
        <w:jc w:val="both"/>
        <w:rPr>
          <w:b/>
          <w:sz w:val="24"/>
          <w:szCs w:val="24"/>
          <w:lang w:val="uk-UA"/>
        </w:rPr>
      </w:pPr>
      <w:bookmarkStart w:id="0" w:name="_Hlk193871893"/>
      <w:bookmarkStart w:id="1" w:name="_Hlk62553289"/>
      <w:r w:rsidRPr="00E61AD0">
        <w:rPr>
          <w:b/>
          <w:sz w:val="24"/>
          <w:szCs w:val="24"/>
          <w:lang w:val="uk-UA"/>
        </w:rPr>
        <w:t xml:space="preserve">Про затвердження технічної документації з нормативної грошової </w:t>
      </w:r>
    </w:p>
    <w:p w14:paraId="7ACB580A" w14:textId="77777777" w:rsidR="00E61AD0" w:rsidRDefault="00E61AD0" w:rsidP="00E61AD0">
      <w:pPr>
        <w:jc w:val="both"/>
        <w:rPr>
          <w:b/>
          <w:sz w:val="24"/>
          <w:szCs w:val="24"/>
          <w:lang w:val="uk-UA"/>
        </w:rPr>
      </w:pPr>
      <w:r w:rsidRPr="00E61AD0">
        <w:rPr>
          <w:b/>
          <w:sz w:val="24"/>
          <w:szCs w:val="24"/>
          <w:lang w:val="uk-UA"/>
        </w:rPr>
        <w:t>оцінки земельн</w:t>
      </w:r>
      <w:r>
        <w:rPr>
          <w:b/>
          <w:sz w:val="24"/>
          <w:szCs w:val="24"/>
          <w:lang w:val="uk-UA"/>
        </w:rPr>
        <w:t xml:space="preserve">их </w:t>
      </w:r>
      <w:r w:rsidRPr="00E61AD0">
        <w:rPr>
          <w:b/>
          <w:sz w:val="24"/>
          <w:szCs w:val="24"/>
          <w:lang w:val="uk-UA"/>
        </w:rPr>
        <w:t>ділян</w:t>
      </w:r>
      <w:r>
        <w:rPr>
          <w:b/>
          <w:sz w:val="24"/>
          <w:szCs w:val="24"/>
          <w:lang w:val="uk-UA"/>
        </w:rPr>
        <w:t xml:space="preserve">ок розташованих за межами населених </w:t>
      </w:r>
    </w:p>
    <w:p w14:paraId="49668D6B" w14:textId="77777777" w:rsidR="00E61AD0" w:rsidRDefault="00E61AD0" w:rsidP="00E61AD0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пунктів на території Балаклійської міської ради Ізюмського району </w:t>
      </w:r>
    </w:p>
    <w:p w14:paraId="4EDF0FF2" w14:textId="65FD81B9" w:rsidR="00E61AD0" w:rsidRPr="00E61AD0" w:rsidRDefault="00E61AD0" w:rsidP="00E61AD0">
      <w:pPr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/>
        </w:rPr>
        <w:t>Харківської області</w:t>
      </w:r>
      <w:r w:rsidRPr="00E61AD0">
        <w:rPr>
          <w:b/>
          <w:sz w:val="24"/>
          <w:szCs w:val="24"/>
          <w:lang w:val="uk-UA"/>
        </w:rPr>
        <w:t xml:space="preserve"> </w:t>
      </w:r>
    </w:p>
    <w:bookmarkEnd w:id="0"/>
    <w:p w14:paraId="2BBC37B7" w14:textId="6EB23D0C" w:rsidR="00E61AD0" w:rsidRDefault="00E61AD0" w:rsidP="00E61AD0">
      <w:pPr>
        <w:tabs>
          <w:tab w:val="left" w:pos="4395"/>
        </w:tabs>
        <w:jc w:val="both"/>
        <w:rPr>
          <w:sz w:val="28"/>
          <w:szCs w:val="28"/>
          <w:lang w:val="uk-UA"/>
        </w:rPr>
      </w:pPr>
    </w:p>
    <w:p w14:paraId="4E625EDB" w14:textId="0F3D6E85" w:rsidR="007B2DB0" w:rsidRDefault="000A7CA0" w:rsidP="000A7C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директора </w:t>
      </w:r>
      <w:r w:rsidR="00FF1E6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від 19.03.2025 №12 про затвердження технічної документації з нормативної грошової оцінки земельних ділянок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6320284000:03:000:0433,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6320284000:03:000:0434,</w:t>
      </w:r>
      <w:r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6320284000:03:000:0435,</w:t>
      </w:r>
      <w:r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6320284000:03:000:0436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6320284000:03:000:0437,</w:t>
      </w:r>
      <w:r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6320284000:03:000:0441,</w:t>
      </w:r>
      <w:r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6320284000:03:000:0442, 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6320284000:03:000:0443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6320284000:03:000:0444</w:t>
      </w:r>
      <w:r w:rsidR="00E61AD0" w:rsidRPr="007B2DB0">
        <w:rPr>
          <w:sz w:val="24"/>
          <w:szCs w:val="24"/>
          <w:lang w:val="uk-UA"/>
        </w:rPr>
        <w:t>,</w:t>
      </w:r>
      <w:r w:rsidR="00E61AD0" w:rsidRPr="005E2AE4">
        <w:rPr>
          <w:lang w:val="uk-UA"/>
        </w:rPr>
        <w:t xml:space="preserve"> </w:t>
      </w:r>
    </w:p>
    <w:p w14:paraId="0574578A" w14:textId="6EB9E956" w:rsidR="0090609E" w:rsidRPr="00DA067A" w:rsidRDefault="000A7CA0" w:rsidP="000A7C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lang w:val="uk-UA"/>
        </w:rPr>
      </w:pPr>
      <w:r w:rsidRPr="005E2AE4">
        <w:rPr>
          <w:rFonts w:ascii="Times New Roman" w:hAnsi="Times New Roman" w:cs="Times New Roman"/>
          <w:sz w:val="24"/>
          <w:szCs w:val="24"/>
          <w:lang w:val="uk-UA"/>
        </w:rPr>
        <w:t>які знаходяться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у власності </w:t>
      </w:r>
      <w:r w:rsidR="00FF1E63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для розміщення та експлуатації основних, підсобних і допоміжних будівель та споруд будівельних організацій та підприємств (КВЦПЗ - 11.03) 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розташован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межами населених пунктів на території Балаклійської міської ради Ізюмського району Харківської області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Pr="000A7CA0">
        <w:rPr>
          <w:rFonts w:ascii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0A7CA0"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Про призначення</w:t>
      </w:r>
      <w:r w:rsidR="00C80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</w:t>
      </w:r>
      <w:r w:rsidRPr="000A7CA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0A7CA0">
        <w:rPr>
          <w:color w:val="000000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ст.12 Земельного кодексу України, ст.23 Закону України «Про оцінку земель», «Методики нормативної грошової оцінки земельних ділянок», що затверджена постановою Кабінету міністрів України №</w:t>
      </w:r>
      <w:r w:rsidR="00DA06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1147 від 03</w:t>
      </w:r>
      <w:r w:rsidR="00DA067A">
        <w:rPr>
          <w:rFonts w:ascii="Times New Roman" w:hAnsi="Times New Roman"/>
          <w:sz w:val="24"/>
          <w:szCs w:val="24"/>
          <w:lang w:val="uk-UA"/>
        </w:rPr>
        <w:t>.11.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2021</w:t>
      </w:r>
      <w:r w:rsidR="00DA067A">
        <w:rPr>
          <w:rFonts w:ascii="Times New Roman" w:hAnsi="Times New Roman"/>
          <w:sz w:val="24"/>
          <w:szCs w:val="24"/>
          <w:lang w:val="uk-UA"/>
        </w:rPr>
        <w:t>,</w:t>
      </w:r>
      <w:r w:rsidR="00E61AD0" w:rsidRPr="00DA0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67A" w:rsidRPr="00DA067A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="00DA067A" w:rsidRPr="00DA067A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="00DA067A" w:rsidRPr="00DA06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DA067A" w:rsidRPr="00DA067A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="00DA067A" w:rsidRPr="00DA0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67A" w:rsidRPr="00DA067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DA067A" w:rsidRPr="00DA0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67A" w:rsidRPr="00DA067A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="00DA067A" w:rsidRPr="00DA0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67A" w:rsidRPr="00DA067A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</w:p>
    <w:bookmarkEnd w:id="1"/>
    <w:p w14:paraId="78615166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487C9D7E" w14:textId="79BF03AA" w:rsidR="000F1925" w:rsidRPr="006267A8" w:rsidRDefault="000F1925" w:rsidP="006267A8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6267A8">
        <w:rPr>
          <w:b/>
          <w:bCs/>
          <w:sz w:val="28"/>
          <w:szCs w:val="28"/>
          <w:lang w:val="uk-UA"/>
        </w:rPr>
        <w:t>ЗОБОВ</w:t>
      </w:r>
      <w:r w:rsidR="006267A8" w:rsidRPr="006267A8">
        <w:rPr>
          <w:b/>
          <w:bCs/>
          <w:sz w:val="28"/>
          <w:szCs w:val="28"/>
          <w:lang w:val="uk-UA"/>
        </w:rPr>
        <w:t>’</w:t>
      </w:r>
      <w:r w:rsidRPr="006267A8">
        <w:rPr>
          <w:b/>
          <w:bCs/>
          <w:sz w:val="28"/>
          <w:szCs w:val="28"/>
          <w:lang w:val="uk-UA"/>
        </w:rPr>
        <w:t>ЯЗУЮ:</w:t>
      </w:r>
      <w:r w:rsidRPr="006267A8">
        <w:rPr>
          <w:sz w:val="28"/>
          <w:szCs w:val="28"/>
          <w:lang w:val="uk-UA"/>
        </w:rPr>
        <w:t xml:space="preserve">  </w:t>
      </w:r>
    </w:p>
    <w:p w14:paraId="29B04847" w14:textId="77777777" w:rsidR="007B2DB0" w:rsidRDefault="00794BC7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1. Затвердити технічну документацію з нормативної грошової оцінки земельних </w:t>
      </w:r>
      <w:r w:rsidR="009A6F8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 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ділянок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кадастрові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номери:</w:t>
      </w:r>
    </w:p>
    <w:p w14:paraId="4494EAB2" w14:textId="71206F38" w:rsidR="007B2DB0" w:rsidRDefault="00A90906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6320284000:03:000:0433,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6320284000:03:000:0434, 6320284000:03:000:0435,</w:t>
      </w:r>
      <w:r w:rsidR="005E2AE4" w:rsidRPr="00794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6320284000:03:000:0436</w:t>
      </w:r>
      <w:r w:rsidR="00C80F51" w:rsidRPr="00794B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2AE4" w:rsidRPr="00794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6320284000:03:000:0437, 6320284000:03:000:0441, 6320284000:03:000:0442,</w:t>
      </w:r>
      <w:r w:rsidR="005E2AE4" w:rsidRPr="00794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6320284000:03:000:0443</w:t>
      </w:r>
      <w:r w:rsidR="00C80F51" w:rsidRPr="00794B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2AE4" w:rsidRPr="00794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6320284000:03:000:0444</w:t>
      </w:r>
      <w:r w:rsidR="00EA12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A6F8C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8D182D" w14:textId="67143C1E" w:rsidR="007B2DB0" w:rsidRDefault="005B4E25" w:rsidP="007B2DB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CA5B69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знаходяться у власності  ТОВАРИСТВА З ОБМЕЖЕНОЮ ВІДПОВІДАЛЬНІСТЮ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FF1E63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CA5B69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основних, підсобних і допоміжних будівель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та споруд будівельних організацій та підприємств (КВЦПЗ - 11.03)</w:t>
      </w:r>
      <w:r w:rsidR="00C80F51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та розташовані за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межами населених пунктів на території Балаклійської міської ради Ізюмського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району Харківської області розроблену </w:t>
      </w:r>
      <w:r w:rsidR="00794BC7">
        <w:rPr>
          <w:rFonts w:ascii="Times New Roman" w:hAnsi="Times New Roman" w:cs="Times New Roman"/>
          <w:sz w:val="24"/>
          <w:szCs w:val="24"/>
          <w:lang w:val="uk-UA"/>
        </w:rPr>
        <w:t xml:space="preserve"> ФО-П </w:t>
      </w:r>
      <w:proofErr w:type="spellStart"/>
      <w:r w:rsidR="00794BC7">
        <w:rPr>
          <w:rFonts w:ascii="Times New Roman" w:hAnsi="Times New Roman" w:cs="Times New Roman"/>
          <w:sz w:val="24"/>
          <w:szCs w:val="24"/>
          <w:lang w:val="uk-UA"/>
        </w:rPr>
        <w:t>Радіонова</w:t>
      </w:r>
      <w:proofErr w:type="spellEnd"/>
      <w:r w:rsidR="00794BC7">
        <w:rPr>
          <w:rFonts w:ascii="Times New Roman" w:hAnsi="Times New Roman" w:cs="Times New Roman"/>
          <w:sz w:val="24"/>
          <w:szCs w:val="24"/>
          <w:lang w:val="uk-UA"/>
        </w:rPr>
        <w:t xml:space="preserve"> В.В. (додається)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E50545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2. Встановити, що</w:t>
      </w:r>
      <w:r w:rsidR="001E0AFD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нормативна грошова оцінка земель  за межами населеного пункту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Балаклійської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міської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територіальної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громади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Ізюмського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району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Харківської </w:t>
      </w:r>
    </w:p>
    <w:p w14:paraId="1D08ECB8" w14:textId="77777777" w:rsidR="007B2DB0" w:rsidRDefault="007B2DB0" w:rsidP="007B2DB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</w:p>
    <w:p w14:paraId="6AD74463" w14:textId="77777777" w:rsidR="007B2DB0" w:rsidRDefault="007B2DB0" w:rsidP="007B2DB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</w:p>
    <w:p w14:paraId="211871C9" w14:textId="77777777" w:rsidR="007B2DB0" w:rsidRDefault="007B2DB0" w:rsidP="007B2DB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</w:p>
    <w:p w14:paraId="6D9FF5A8" w14:textId="5F6782F9" w:rsidR="00794BC7" w:rsidRDefault="000F440E" w:rsidP="007B2DB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області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станом на 06.03.2025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становить: </w:t>
      </w:r>
    </w:p>
    <w:p w14:paraId="3973FA7D" w14:textId="77777777" w:rsidR="00794BC7" w:rsidRDefault="00794BC7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lastRenderedPageBreak/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земельна ділянка площею 2,0000 га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6320284000:03:000:0433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0971" w:rsidRPr="00EC097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8335064,64 грн (Вісім мільйонів триста тридцять п’ять тисяч шістдесят чотири гривні 64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7837DAC1" w14:textId="77777777" w:rsidR="00794BC7" w:rsidRDefault="00794BC7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 2,0000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6320284000:03:000:0434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- 8335064,64 грн (Вісім мільйонів триста тридцять п’ять тисяч шістдесят чотири гривні 64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51690091" w14:textId="77777777" w:rsidR="00794BC7" w:rsidRDefault="00794BC7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 2,0000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кадастровий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6320284000:03:000:0435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- 8335064,64 грн (Вісім мільйонів триста тридцять п’ять тисяч шістдесят чотири гривні 64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B6A83DC" w14:textId="67856D4C" w:rsidR="00C76AC4" w:rsidRDefault="00794BC7" w:rsidP="00C76AC4">
      <w:pPr>
        <w:pStyle w:val="a7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земельна ділянка площею 2,0000 га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кадастровий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6320284000:03:000:0436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- 8335064,64 грн (Вісім мільйонів триста тридцять п’ять тисяч шістдесят чотири гривні 64 копійки)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132E929" w14:textId="659385EB" w:rsidR="00C76AC4" w:rsidRDefault="00C76AC4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 2,0000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кадастровий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6320284000:03:000:0437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- 8335064,64 грн (Вісім мільйонів триста тридцять п’ять тисяч шістдесят чотири гривні 64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0175A700" w14:textId="1579B966" w:rsidR="00C76AC4" w:rsidRDefault="00C76AC4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земельна ділянка площею 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,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95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00 га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номер 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6320284000:03:000:0441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- 8126688,02 грн (Вісім мільйонів сто двадцять шість тисяч шістсот вісімдесят вісім гривень 02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2B3A83" w14:textId="7322B4A9" w:rsidR="00C76AC4" w:rsidRDefault="00C76AC4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1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,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98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00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кадастровий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6320284000:03:000:0442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- 8251713,99 грн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>(Вісім мільйонів двісті п’ятдесят одна тисяча сімсот тринадцять гривні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>99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2DC36A3C" w14:textId="2C0FBF18" w:rsidR="00C76AC4" w:rsidRDefault="00C76AC4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</w:t>
      </w:r>
      <w:r w:rsidR="00BC4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,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9049</w:t>
      </w:r>
      <w:r w:rsidR="00BC4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га</w:t>
      </w:r>
      <w:r w:rsidR="00BC4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6320284000:03:000:0443</w:t>
      </w:r>
      <w:r w:rsidR="00872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>7938732,32гр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н 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>(Сім мільйонів</w:t>
      </w:r>
      <w:r w:rsidR="00872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>дев’ятсот тридцять вісім тисяч сімсот тридцять дві гривні 32 копійки),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CF2A831" w14:textId="7D6885C8" w:rsidR="000F440E" w:rsidRPr="00EC0971" w:rsidRDefault="00C76AC4" w:rsidP="00BD5C52">
      <w:pPr>
        <w:pStyle w:val="a7"/>
        <w:tabs>
          <w:tab w:val="left" w:pos="567"/>
          <w:tab w:val="left" w:pos="1701"/>
          <w:tab w:val="left" w:pos="2552"/>
          <w:tab w:val="left" w:pos="3402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,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9500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га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6320284000:03:000:0444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- 8126688,02 грн (Вісім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мільйонів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сто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двадцять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шість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шістсот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вісімдесят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вісім гривень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копійки).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        3. Відповідно до статті 271.2 Податкового кодексу України, нормативна грошова оцінка вступає в дію 01.01.202</w:t>
      </w:r>
      <w:r w:rsidR="00CA5B6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14:paraId="1FFDDE5D" w14:textId="015FFDAA" w:rsidR="00E41F41" w:rsidRDefault="00E41F41" w:rsidP="000F440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2C66F5">
        <w:rPr>
          <w:sz w:val="24"/>
          <w:szCs w:val="24"/>
          <w:lang w:val="uk-UA"/>
        </w:rPr>
        <w:t>4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9486668" w14:textId="77777777" w:rsidR="00333CC0" w:rsidRDefault="00333CC0" w:rsidP="000F440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98D8EB5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66A870F2" w14:textId="77777777" w:rsidR="00D9139B" w:rsidRPr="00A1663D" w:rsidRDefault="00D9139B" w:rsidP="00D9139B">
      <w:pPr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 xml:space="preserve">Начальник міської         </w:t>
      </w:r>
    </w:p>
    <w:p w14:paraId="6701E0C8" w14:textId="7747CA72" w:rsidR="00D9139B" w:rsidRPr="00A1663D" w:rsidRDefault="00D9139B" w:rsidP="006D6CEB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>військової адміністрації</w:t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  <w:t xml:space="preserve">  </w:t>
      </w:r>
      <w:r w:rsidR="00A1663D">
        <w:rPr>
          <w:b/>
          <w:sz w:val="24"/>
          <w:szCs w:val="24"/>
          <w:lang w:val="uk-UA"/>
        </w:rPr>
        <w:t xml:space="preserve">                   </w:t>
      </w:r>
      <w:r w:rsidRPr="00A1663D">
        <w:rPr>
          <w:b/>
          <w:sz w:val="24"/>
          <w:szCs w:val="24"/>
          <w:lang w:val="uk-UA"/>
        </w:rPr>
        <w:t xml:space="preserve">  Віталій КАРАБАНОВ</w:t>
      </w:r>
    </w:p>
    <w:p w14:paraId="4E1955F0" w14:textId="77777777" w:rsidR="00FE3DE6" w:rsidRPr="00A1663D" w:rsidRDefault="00FE3DE6" w:rsidP="00FE3DE6">
      <w:pPr>
        <w:jc w:val="both"/>
        <w:rPr>
          <w:sz w:val="24"/>
          <w:szCs w:val="24"/>
          <w:lang w:val="uk-UA"/>
        </w:rPr>
      </w:pPr>
    </w:p>
    <w:p w14:paraId="3D02A6A3" w14:textId="77777777" w:rsidR="00112A9B" w:rsidRDefault="00112A9B">
      <w:pPr>
        <w:jc w:val="both"/>
        <w:rPr>
          <w:bCs/>
          <w:sz w:val="24"/>
          <w:szCs w:val="24"/>
          <w:lang w:val="uk-UA"/>
        </w:rPr>
      </w:pPr>
    </w:p>
    <w:p w14:paraId="29BF9BE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CB9FF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CC58EE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08975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EA22F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0D037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14A5B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CABA9D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09FFE4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EA4A0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B26A16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0B6C8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4F24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83ECC1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C27DCD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04F886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62FE9A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7235B2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26D86F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EDFA5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4E5649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50486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F73C1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8C9049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2C0E9B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DD316C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7B2DB0">
      <w:headerReference w:type="default" r:id="rId8"/>
      <w:headerReference w:type="first" r:id="rId9"/>
      <w:pgSz w:w="11906" w:h="16838"/>
      <w:pgMar w:top="993" w:right="567" w:bottom="0" w:left="1701" w:header="309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01576" w14:textId="77777777" w:rsidR="004B697F" w:rsidRDefault="004B697F">
      <w:r>
        <w:separator/>
      </w:r>
    </w:p>
  </w:endnote>
  <w:endnote w:type="continuationSeparator" w:id="0">
    <w:p w14:paraId="09BE1184" w14:textId="77777777" w:rsidR="004B697F" w:rsidRDefault="004B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B031" w14:textId="77777777" w:rsidR="004B697F" w:rsidRDefault="004B697F">
      <w:r>
        <w:separator/>
      </w:r>
    </w:p>
  </w:footnote>
  <w:footnote w:type="continuationSeparator" w:id="0">
    <w:p w14:paraId="4D177D09" w14:textId="77777777" w:rsidR="004B697F" w:rsidRDefault="004B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2CE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29EE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08B73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094094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454021"/>
    <w:multiLevelType w:val="hybridMultilevel"/>
    <w:tmpl w:val="89C4A5A6"/>
    <w:lvl w:ilvl="0" w:tplc="9A368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6A010A1"/>
    <w:multiLevelType w:val="hybridMultilevel"/>
    <w:tmpl w:val="61B0194C"/>
    <w:lvl w:ilvl="0" w:tplc="60AE6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9375C"/>
    <w:multiLevelType w:val="hybridMultilevel"/>
    <w:tmpl w:val="3D4AC900"/>
    <w:lvl w:ilvl="0" w:tplc="1C1E0A5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22238999">
    <w:abstractNumId w:val="0"/>
  </w:num>
  <w:num w:numId="2" w16cid:durableId="2105151897">
    <w:abstractNumId w:val="3"/>
  </w:num>
  <w:num w:numId="3" w16cid:durableId="1191913589">
    <w:abstractNumId w:val="1"/>
  </w:num>
  <w:num w:numId="4" w16cid:durableId="340545201">
    <w:abstractNumId w:val="2"/>
  </w:num>
  <w:num w:numId="5" w16cid:durableId="167387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022F2"/>
    <w:rsid w:val="0003187E"/>
    <w:rsid w:val="000427CD"/>
    <w:rsid w:val="000444B1"/>
    <w:rsid w:val="00065C26"/>
    <w:rsid w:val="000702F8"/>
    <w:rsid w:val="00091C59"/>
    <w:rsid w:val="000A0999"/>
    <w:rsid w:val="000A7CA0"/>
    <w:rsid w:val="000B299D"/>
    <w:rsid w:val="000B54C8"/>
    <w:rsid w:val="000B7224"/>
    <w:rsid w:val="000C1984"/>
    <w:rsid w:val="000C4AB8"/>
    <w:rsid w:val="000C5A02"/>
    <w:rsid w:val="000E1EB5"/>
    <w:rsid w:val="000F1925"/>
    <w:rsid w:val="000F262D"/>
    <w:rsid w:val="000F440E"/>
    <w:rsid w:val="000F50C4"/>
    <w:rsid w:val="00104543"/>
    <w:rsid w:val="00112A9B"/>
    <w:rsid w:val="00134FE4"/>
    <w:rsid w:val="0014182C"/>
    <w:rsid w:val="0014219C"/>
    <w:rsid w:val="00154248"/>
    <w:rsid w:val="00154731"/>
    <w:rsid w:val="00156570"/>
    <w:rsid w:val="001653E9"/>
    <w:rsid w:val="001856CA"/>
    <w:rsid w:val="001A034B"/>
    <w:rsid w:val="001A22E3"/>
    <w:rsid w:val="001A5128"/>
    <w:rsid w:val="001A775B"/>
    <w:rsid w:val="001B22F5"/>
    <w:rsid w:val="001C35DF"/>
    <w:rsid w:val="001E0AFD"/>
    <w:rsid w:val="001E536C"/>
    <w:rsid w:val="0020132A"/>
    <w:rsid w:val="0021228C"/>
    <w:rsid w:val="00215AB6"/>
    <w:rsid w:val="0021733D"/>
    <w:rsid w:val="002215DD"/>
    <w:rsid w:val="00224314"/>
    <w:rsid w:val="00234B71"/>
    <w:rsid w:val="00244DFC"/>
    <w:rsid w:val="00247BB2"/>
    <w:rsid w:val="002501CD"/>
    <w:rsid w:val="0026205F"/>
    <w:rsid w:val="00262C7E"/>
    <w:rsid w:val="002709DB"/>
    <w:rsid w:val="002850C9"/>
    <w:rsid w:val="0028700B"/>
    <w:rsid w:val="002962E6"/>
    <w:rsid w:val="002B5C22"/>
    <w:rsid w:val="002C66F5"/>
    <w:rsid w:val="002E422C"/>
    <w:rsid w:val="002F0C79"/>
    <w:rsid w:val="002F3ABD"/>
    <w:rsid w:val="00302102"/>
    <w:rsid w:val="00305539"/>
    <w:rsid w:val="00312525"/>
    <w:rsid w:val="00314241"/>
    <w:rsid w:val="003203B5"/>
    <w:rsid w:val="00333CC0"/>
    <w:rsid w:val="00344BFB"/>
    <w:rsid w:val="00383456"/>
    <w:rsid w:val="003960C2"/>
    <w:rsid w:val="00397324"/>
    <w:rsid w:val="003A02BC"/>
    <w:rsid w:val="003A76D6"/>
    <w:rsid w:val="003B6643"/>
    <w:rsid w:val="003C5505"/>
    <w:rsid w:val="003C7A45"/>
    <w:rsid w:val="003E308A"/>
    <w:rsid w:val="003E3517"/>
    <w:rsid w:val="003E4572"/>
    <w:rsid w:val="003F2925"/>
    <w:rsid w:val="003F459C"/>
    <w:rsid w:val="00425080"/>
    <w:rsid w:val="00432CAE"/>
    <w:rsid w:val="00434BEC"/>
    <w:rsid w:val="00440575"/>
    <w:rsid w:val="00451526"/>
    <w:rsid w:val="004604C0"/>
    <w:rsid w:val="00465E1B"/>
    <w:rsid w:val="00470350"/>
    <w:rsid w:val="00473CA7"/>
    <w:rsid w:val="00495A5A"/>
    <w:rsid w:val="004A4D45"/>
    <w:rsid w:val="004B57EC"/>
    <w:rsid w:val="004B697F"/>
    <w:rsid w:val="004B7DE4"/>
    <w:rsid w:val="004C229C"/>
    <w:rsid w:val="004C5271"/>
    <w:rsid w:val="004C6A64"/>
    <w:rsid w:val="004D3212"/>
    <w:rsid w:val="004E12A0"/>
    <w:rsid w:val="004E1FDB"/>
    <w:rsid w:val="00502E6E"/>
    <w:rsid w:val="00505DC0"/>
    <w:rsid w:val="00525331"/>
    <w:rsid w:val="00526125"/>
    <w:rsid w:val="00532FCE"/>
    <w:rsid w:val="0054115A"/>
    <w:rsid w:val="0055557D"/>
    <w:rsid w:val="005814EB"/>
    <w:rsid w:val="00587B2F"/>
    <w:rsid w:val="005A24E1"/>
    <w:rsid w:val="005A5E5F"/>
    <w:rsid w:val="005B4C1B"/>
    <w:rsid w:val="005B4E25"/>
    <w:rsid w:val="005C4621"/>
    <w:rsid w:val="005C6C77"/>
    <w:rsid w:val="005E1F7D"/>
    <w:rsid w:val="005E2AE4"/>
    <w:rsid w:val="005E4003"/>
    <w:rsid w:val="005F3D93"/>
    <w:rsid w:val="005F6292"/>
    <w:rsid w:val="00602179"/>
    <w:rsid w:val="00604246"/>
    <w:rsid w:val="006267A8"/>
    <w:rsid w:val="0064495C"/>
    <w:rsid w:val="0067565E"/>
    <w:rsid w:val="00675F17"/>
    <w:rsid w:val="006760BA"/>
    <w:rsid w:val="0067738F"/>
    <w:rsid w:val="00677FF6"/>
    <w:rsid w:val="00687DD6"/>
    <w:rsid w:val="006A2E46"/>
    <w:rsid w:val="006B13C1"/>
    <w:rsid w:val="006D3017"/>
    <w:rsid w:val="006D6CEB"/>
    <w:rsid w:val="006E0410"/>
    <w:rsid w:val="006E05C9"/>
    <w:rsid w:val="006F32F1"/>
    <w:rsid w:val="006F5E24"/>
    <w:rsid w:val="00710969"/>
    <w:rsid w:val="00710D14"/>
    <w:rsid w:val="007271B1"/>
    <w:rsid w:val="0073155C"/>
    <w:rsid w:val="007359D5"/>
    <w:rsid w:val="007363CF"/>
    <w:rsid w:val="007373BD"/>
    <w:rsid w:val="0074056B"/>
    <w:rsid w:val="00742245"/>
    <w:rsid w:val="0075488A"/>
    <w:rsid w:val="00765373"/>
    <w:rsid w:val="00785470"/>
    <w:rsid w:val="007861A4"/>
    <w:rsid w:val="00793094"/>
    <w:rsid w:val="00794BC7"/>
    <w:rsid w:val="007A4681"/>
    <w:rsid w:val="007B23DD"/>
    <w:rsid w:val="007B2DB0"/>
    <w:rsid w:val="007B56A2"/>
    <w:rsid w:val="007C4CFC"/>
    <w:rsid w:val="007F7B83"/>
    <w:rsid w:val="008029B5"/>
    <w:rsid w:val="008179A1"/>
    <w:rsid w:val="00823DD6"/>
    <w:rsid w:val="00825121"/>
    <w:rsid w:val="008318EA"/>
    <w:rsid w:val="00836895"/>
    <w:rsid w:val="008447E1"/>
    <w:rsid w:val="00861E39"/>
    <w:rsid w:val="00872E93"/>
    <w:rsid w:val="00884BA7"/>
    <w:rsid w:val="00897BB5"/>
    <w:rsid w:val="008C2EB2"/>
    <w:rsid w:val="008C4360"/>
    <w:rsid w:val="008F7816"/>
    <w:rsid w:val="0090609E"/>
    <w:rsid w:val="00907DE0"/>
    <w:rsid w:val="009178EC"/>
    <w:rsid w:val="00944F59"/>
    <w:rsid w:val="00967E2C"/>
    <w:rsid w:val="00993867"/>
    <w:rsid w:val="0099660B"/>
    <w:rsid w:val="009A6F8C"/>
    <w:rsid w:val="009C7658"/>
    <w:rsid w:val="009D422D"/>
    <w:rsid w:val="009D4796"/>
    <w:rsid w:val="009D6EC2"/>
    <w:rsid w:val="009E2371"/>
    <w:rsid w:val="00A121A7"/>
    <w:rsid w:val="00A1663D"/>
    <w:rsid w:val="00A37105"/>
    <w:rsid w:val="00A5664E"/>
    <w:rsid w:val="00A65F2D"/>
    <w:rsid w:val="00A73927"/>
    <w:rsid w:val="00A80401"/>
    <w:rsid w:val="00A83846"/>
    <w:rsid w:val="00A8633A"/>
    <w:rsid w:val="00A863DB"/>
    <w:rsid w:val="00A90906"/>
    <w:rsid w:val="00AA230C"/>
    <w:rsid w:val="00AC7FC7"/>
    <w:rsid w:val="00AE698C"/>
    <w:rsid w:val="00B01105"/>
    <w:rsid w:val="00B170A9"/>
    <w:rsid w:val="00B26E72"/>
    <w:rsid w:val="00B3475B"/>
    <w:rsid w:val="00B35A81"/>
    <w:rsid w:val="00B36FDB"/>
    <w:rsid w:val="00B5536A"/>
    <w:rsid w:val="00B70EC2"/>
    <w:rsid w:val="00B85E53"/>
    <w:rsid w:val="00BA27D3"/>
    <w:rsid w:val="00BC1D8F"/>
    <w:rsid w:val="00BC49DF"/>
    <w:rsid w:val="00BC69E9"/>
    <w:rsid w:val="00BD5C52"/>
    <w:rsid w:val="00BF6013"/>
    <w:rsid w:val="00C16887"/>
    <w:rsid w:val="00C21F9F"/>
    <w:rsid w:val="00C31507"/>
    <w:rsid w:val="00C3340D"/>
    <w:rsid w:val="00C566DB"/>
    <w:rsid w:val="00C76AC4"/>
    <w:rsid w:val="00C80F51"/>
    <w:rsid w:val="00C81DBF"/>
    <w:rsid w:val="00CA5B69"/>
    <w:rsid w:val="00CC3A12"/>
    <w:rsid w:val="00D13102"/>
    <w:rsid w:val="00D34C67"/>
    <w:rsid w:val="00D37319"/>
    <w:rsid w:val="00D42177"/>
    <w:rsid w:val="00D81093"/>
    <w:rsid w:val="00D9139B"/>
    <w:rsid w:val="00DA067A"/>
    <w:rsid w:val="00DA3C92"/>
    <w:rsid w:val="00DB36A0"/>
    <w:rsid w:val="00DB7885"/>
    <w:rsid w:val="00DC378A"/>
    <w:rsid w:val="00DD568B"/>
    <w:rsid w:val="00DD7E97"/>
    <w:rsid w:val="00DE10D0"/>
    <w:rsid w:val="00DE1EFB"/>
    <w:rsid w:val="00DE5441"/>
    <w:rsid w:val="00DF1EB7"/>
    <w:rsid w:val="00E00D94"/>
    <w:rsid w:val="00E030C4"/>
    <w:rsid w:val="00E244AA"/>
    <w:rsid w:val="00E26E4E"/>
    <w:rsid w:val="00E40AAB"/>
    <w:rsid w:val="00E41F41"/>
    <w:rsid w:val="00E50545"/>
    <w:rsid w:val="00E53F96"/>
    <w:rsid w:val="00E61AD0"/>
    <w:rsid w:val="00E67B0E"/>
    <w:rsid w:val="00E70789"/>
    <w:rsid w:val="00E93F51"/>
    <w:rsid w:val="00EA086D"/>
    <w:rsid w:val="00EA129B"/>
    <w:rsid w:val="00EA5709"/>
    <w:rsid w:val="00EB2E69"/>
    <w:rsid w:val="00EB5559"/>
    <w:rsid w:val="00EC0971"/>
    <w:rsid w:val="00EE4599"/>
    <w:rsid w:val="00EE7666"/>
    <w:rsid w:val="00F05FD8"/>
    <w:rsid w:val="00F070A9"/>
    <w:rsid w:val="00F10338"/>
    <w:rsid w:val="00F30916"/>
    <w:rsid w:val="00F42720"/>
    <w:rsid w:val="00F621C5"/>
    <w:rsid w:val="00F938DF"/>
    <w:rsid w:val="00FB2A3C"/>
    <w:rsid w:val="00FD5606"/>
    <w:rsid w:val="00FE3DE6"/>
    <w:rsid w:val="00FF1E6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3C595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C7"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61E-3114-4964-BD8C-4F15A31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3527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2025-03-26T07:19:00Z</cp:lastPrinted>
  <dcterms:created xsi:type="dcterms:W3CDTF">2025-05-22T05:57:00Z</dcterms:created>
  <dcterms:modified xsi:type="dcterms:W3CDTF">2025-05-22T05:57:00Z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