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9F02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F0216" w:rsidRDefault="009F0216">
            <w:pPr>
              <w:pStyle w:val="EMPTYCELLSTYLE"/>
            </w:pPr>
          </w:p>
        </w:tc>
        <w:tc>
          <w:tcPr>
            <w:tcW w:w="3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0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F0216" w:rsidRDefault="009F0216">
            <w:pPr>
              <w:pStyle w:val="EMPTYCELLSTYLE"/>
            </w:pPr>
          </w:p>
        </w:tc>
        <w:tc>
          <w:tcPr>
            <w:tcW w:w="3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0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F0216" w:rsidRDefault="009F0216">
            <w:pPr>
              <w:pStyle w:val="EMPTYCELLSTYLE"/>
            </w:pPr>
          </w:p>
        </w:tc>
        <w:tc>
          <w:tcPr>
            <w:tcW w:w="3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0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01 листопада 2022 року № 359)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0216" w:rsidRDefault="00201EAC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b/>
                <w:sz w:val="28"/>
              </w:rPr>
              <w:t xml:space="preserve">про </w:t>
            </w:r>
            <w:proofErr w:type="spellStart"/>
            <w:r>
              <w:rPr>
                <w:b/>
                <w:sz w:val="28"/>
              </w:rPr>
              <w:t>виконання</w:t>
            </w:r>
            <w:proofErr w:type="spellEnd"/>
            <w:r>
              <w:rPr>
                <w:b/>
                <w:sz w:val="28"/>
              </w:rPr>
              <w:t xml:space="preserve"> паспорта </w:t>
            </w: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2024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0180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left="60"/>
              <w:jc w:val="both"/>
            </w:pPr>
            <w:proofErr w:type="spellStart"/>
            <w:r>
              <w:t>Інша</w:t>
            </w:r>
            <w:proofErr w:type="spellEnd"/>
            <w:r>
              <w:t xml:space="preserve"> </w:t>
            </w:r>
            <w:proofErr w:type="spellStart"/>
            <w:r>
              <w:t>діяльність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державного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інформаційного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r>
              <w:rPr>
                <w:sz w:val="24"/>
              </w:rPr>
              <w:t xml:space="preserve">5.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державного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F0216" w:rsidRDefault="009F0216">
            <w:pPr>
              <w:pStyle w:val="EMPTYCELLSTYLE"/>
            </w:pPr>
          </w:p>
        </w:tc>
        <w:tc>
          <w:tcPr>
            <w:tcW w:w="3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0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7.1.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F0216" w:rsidRDefault="009F0216">
            <w:pPr>
              <w:pStyle w:val="EMPTYCELLSTYLE"/>
            </w:pPr>
          </w:p>
        </w:tc>
        <w:tc>
          <w:tcPr>
            <w:tcW w:w="3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0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інформування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громадян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104000,00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104000,00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-5000,00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-5000,00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5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F0216" w:rsidRDefault="009F0216">
            <w:pPr>
              <w:pStyle w:val="EMPTYCELLSTYLE"/>
            </w:pPr>
          </w:p>
        </w:tc>
        <w:tc>
          <w:tcPr>
            <w:tcW w:w="3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02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F0216" w:rsidRDefault="009F021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6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функцій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характеру,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пов’язаних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виконанням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повноважень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органів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самоврядування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3028606,00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3028606,00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3028606,00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3028606,00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104000,00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104000,00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3028606,00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3127606,00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-5000,00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3028606,00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6"/>
              </w:rPr>
              <w:t>3023606,00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6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7.2.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відхилення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за </w:t>
            </w:r>
            <w:proofErr w:type="spellStart"/>
            <w:r>
              <w:rPr>
                <w:sz w:val="24"/>
              </w:rPr>
              <w:t>напрямом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затверджених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паспорті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6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надання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гуманітарної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допомоги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населенню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на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в межах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6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самоврядування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Балаклійської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Харківської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2022 -2026  роки,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затверджена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рішенням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 XIV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Балаклійської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міської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ради VІІІ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скликання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29.07. 2021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№ 521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104000,00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104000,00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-5000,00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right="60"/>
              <w:jc w:val="right"/>
            </w:pPr>
            <w:r>
              <w:rPr>
                <w:b/>
                <w:sz w:val="18"/>
              </w:rPr>
              <w:t>-5000,00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9.1.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досягнуті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фонду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Розпорядження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104000,00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104000,00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99000,00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-5000,00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-5000,00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управлінський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облік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охоплених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функцій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характеру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Облікові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1680,00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1680,00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1680,00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1680,00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одного заходу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8667,00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8667,00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8250,00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8250,00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-417,00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-417,00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особу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1803,00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1803,00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1803,00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1803,00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66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F0216" w:rsidRDefault="009F021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44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r>
              <w:rPr>
                <w:sz w:val="24"/>
              </w:rPr>
              <w:t xml:space="preserve">9.2. 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розбіжностей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фактичними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затвердженими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показниками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фонду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діяльність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сфері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державного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управління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Заходи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9F0216">
            <w:pPr>
              <w:ind w:left="60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громадян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охоплених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інших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функцій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характеру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натуральній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формі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проведення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одного заходу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особу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натуральній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формі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9F0216">
            <w:pPr>
              <w:jc w:val="center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201EAC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F0216" w:rsidRDefault="009F0216">
            <w:pPr>
              <w:ind w:left="60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pPr>
              <w:ind w:right="60"/>
            </w:pPr>
            <w:r>
              <w:rPr>
                <w:sz w:val="24"/>
              </w:rPr>
              <w:t xml:space="preserve">9.3.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стану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4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0216" w:rsidRDefault="00201EAC">
            <w:r>
              <w:t xml:space="preserve">Причина </w:t>
            </w:r>
            <w:proofErr w:type="spellStart"/>
            <w:r>
              <w:t>розбіжностей</w:t>
            </w:r>
            <w:proofErr w:type="spellEnd"/>
            <w:r>
              <w:t xml:space="preserve"> </w:t>
            </w:r>
            <w:proofErr w:type="spellStart"/>
            <w:r>
              <w:t>між</w:t>
            </w:r>
            <w:proofErr w:type="spellEnd"/>
            <w:r>
              <w:t xml:space="preserve"> </w:t>
            </w:r>
            <w:proofErr w:type="spellStart"/>
            <w:r>
              <w:t>плановими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фактичними</w:t>
            </w:r>
            <w:proofErr w:type="spellEnd"/>
            <w:r>
              <w:t xml:space="preserve"> </w:t>
            </w:r>
            <w:proofErr w:type="spellStart"/>
            <w:r>
              <w:t>показниками</w:t>
            </w:r>
            <w:proofErr w:type="spellEnd"/>
            <w:r>
              <w:t>:</w:t>
            </w:r>
            <w:r>
              <w:br/>
            </w:r>
            <w:r>
              <w:br/>
              <w:t>затрат:</w:t>
            </w:r>
            <w:r>
              <w:br/>
              <w:t xml:space="preserve"> 1)</w:t>
            </w:r>
            <w:proofErr w:type="spellStart"/>
            <w:r>
              <w:t>економія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зменшення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виісвітленні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;</w:t>
            </w:r>
            <w:r>
              <w:br/>
            </w:r>
            <w:r>
              <w:br/>
              <w:t xml:space="preserve"> продукту:</w:t>
            </w:r>
            <w:r>
              <w:br/>
            </w:r>
            <w:r>
              <w:t xml:space="preserve"> 1)</w:t>
            </w:r>
            <w:proofErr w:type="spellStart"/>
            <w:r>
              <w:t>зменшення</w:t>
            </w:r>
            <w:proofErr w:type="spellEnd"/>
            <w:r>
              <w:t xml:space="preserve"> </w:t>
            </w:r>
            <w:proofErr w:type="spellStart"/>
            <w:r>
              <w:t>обсягу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виісвітленні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r>
              <w:br/>
              <w:t xml:space="preserve"> 2)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населенню</w:t>
            </w:r>
            <w:proofErr w:type="spellEnd"/>
            <w:r>
              <w:t xml:space="preserve"> </w:t>
            </w:r>
            <w:proofErr w:type="spellStart"/>
            <w:r>
              <w:t>гуманітарної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br/>
            </w:r>
            <w:r>
              <w:br/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>;</w:t>
            </w:r>
            <w:r>
              <w:br/>
              <w:t xml:space="preserve">1) </w:t>
            </w:r>
            <w:proofErr w:type="spellStart"/>
            <w:r>
              <w:t>економія</w:t>
            </w:r>
            <w:proofErr w:type="spellEnd"/>
            <w:r>
              <w:t xml:space="preserve"> </w:t>
            </w:r>
            <w:proofErr w:type="spellStart"/>
            <w:r>
              <w:t>середніх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 – у </w:t>
            </w:r>
            <w:proofErr w:type="spellStart"/>
            <w:r>
              <w:t>зв'язку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економією</w:t>
            </w:r>
            <w:proofErr w:type="spellEnd"/>
            <w:r>
              <w:t xml:space="preserve"> </w:t>
            </w:r>
            <w:proofErr w:type="spellStart"/>
            <w:r>
              <w:t>використаних</w:t>
            </w:r>
            <w:proofErr w:type="spellEnd"/>
            <w:r>
              <w:t xml:space="preserve"> </w:t>
            </w:r>
            <w:proofErr w:type="spellStart"/>
            <w:r>
              <w:t>асигнувань</w:t>
            </w:r>
            <w:proofErr w:type="spellEnd"/>
            <w:r>
              <w:t>;</w:t>
            </w:r>
            <w:r>
              <w:br/>
            </w:r>
            <w:r>
              <w:br/>
              <w:t xml:space="preserve"> </w:t>
            </w:r>
            <w:proofErr w:type="spellStart"/>
            <w:r>
              <w:t>якості</w:t>
            </w:r>
            <w:proofErr w:type="spellEnd"/>
            <w:r>
              <w:t>:</w:t>
            </w:r>
            <w:r>
              <w:br/>
              <w:t xml:space="preserve">1) </w:t>
            </w:r>
            <w:proofErr w:type="spellStart"/>
            <w:r>
              <w:t>показники</w:t>
            </w:r>
            <w:proofErr w:type="spellEnd"/>
            <w:r>
              <w:t xml:space="preserve"> </w:t>
            </w:r>
            <w:proofErr w:type="spellStart"/>
            <w:r>
              <w:t>виконані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затве</w:t>
            </w:r>
            <w:r>
              <w:t>рдженого</w:t>
            </w:r>
            <w:proofErr w:type="spellEnd"/>
            <w:r>
              <w:t xml:space="preserve"> паспортом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плану.</w:t>
            </w:r>
            <w:r>
              <w:br/>
              <w:t xml:space="preserve"> 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Узагальнений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висновок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0216" w:rsidRDefault="00201EAC">
            <w:pPr>
              <w:ind w:left="60"/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відображає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.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актуальною для </w:t>
            </w:r>
            <w:proofErr w:type="spellStart"/>
            <w:r>
              <w:t>подальшої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>.</w:t>
            </w:r>
            <w:r>
              <w:br/>
            </w:r>
            <w:proofErr w:type="spellStart"/>
            <w:r>
              <w:t>Цілі</w:t>
            </w:r>
            <w:proofErr w:type="spellEnd"/>
            <w:r>
              <w:t xml:space="preserve"> та мета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досягнуті</w:t>
            </w:r>
            <w:proofErr w:type="spellEnd"/>
            <w:r>
              <w:t xml:space="preserve">,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виконано</w:t>
            </w:r>
            <w:proofErr w:type="spellEnd"/>
            <w:r>
              <w:t xml:space="preserve">, паспорт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>
              <w:t>озроблено</w:t>
            </w:r>
            <w:proofErr w:type="spellEnd"/>
            <w:r>
              <w:t xml:space="preserve"> га </w:t>
            </w:r>
            <w:proofErr w:type="spellStart"/>
            <w:r>
              <w:t>складено</w:t>
            </w:r>
            <w:proofErr w:type="spellEnd"/>
            <w:r>
              <w:t xml:space="preserve"> </w:t>
            </w:r>
            <w:proofErr w:type="spellStart"/>
            <w:r>
              <w:t>своєчасно</w:t>
            </w:r>
            <w:proofErr w:type="spellEnd"/>
            <w:r>
              <w:t xml:space="preserve"> га у </w:t>
            </w:r>
            <w:proofErr w:type="spellStart"/>
            <w:r>
              <w:t>встановленому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br/>
              <w:t>порядку.</w:t>
            </w:r>
            <w:r>
              <w:br/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F0216" w:rsidRDefault="009F021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740" w:type="dxa"/>
            <w:gridSpan w:val="9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r>
              <w:rPr>
                <w:sz w:val="16"/>
              </w:rPr>
              <w:t xml:space="preserve">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відхилення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 за </w:t>
            </w:r>
            <w:proofErr w:type="spellStart"/>
            <w:r>
              <w:rPr>
                <w:sz w:val="16"/>
              </w:rPr>
              <w:t>напрямом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***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</w:t>
            </w:r>
            <w:r>
              <w:rPr>
                <w:sz w:val="16"/>
              </w:rPr>
              <w:t>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F0216" w:rsidRDefault="00201EAC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F0216" w:rsidRDefault="00201EAC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740" w:type="dxa"/>
            <w:gridSpan w:val="9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F0216" w:rsidRDefault="00201EAC"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бухгалтер</w:t>
            </w:r>
          </w:p>
        </w:tc>
        <w:tc>
          <w:tcPr>
            <w:tcW w:w="11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F0216" w:rsidRDefault="00201EAC">
            <w:proofErr w:type="spellStart"/>
            <w:r>
              <w:t>Піху</w:t>
            </w:r>
            <w:proofErr w:type="spellEnd"/>
            <w:r>
              <w:t xml:space="preserve"> С.М.</w:t>
            </w: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  <w:tr w:rsidR="009F021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700" w:type="dxa"/>
          </w:tcPr>
          <w:p w:rsidR="009F0216" w:rsidRDefault="009F0216">
            <w:pPr>
              <w:pStyle w:val="EMPTYCELLSTYLE"/>
            </w:pPr>
          </w:p>
        </w:tc>
        <w:tc>
          <w:tcPr>
            <w:tcW w:w="8740" w:type="dxa"/>
            <w:gridSpan w:val="9"/>
          </w:tcPr>
          <w:p w:rsidR="009F0216" w:rsidRDefault="009F0216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0216" w:rsidRDefault="00201EA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100" w:type="dxa"/>
            <w:gridSpan w:val="2"/>
          </w:tcPr>
          <w:p w:rsidR="009F0216" w:rsidRDefault="009F0216">
            <w:pPr>
              <w:pStyle w:val="EMPTYCELLSTYLE"/>
            </w:pPr>
          </w:p>
        </w:tc>
        <w:tc>
          <w:tcPr>
            <w:tcW w:w="400" w:type="dxa"/>
          </w:tcPr>
          <w:p w:rsidR="009F0216" w:rsidRDefault="009F0216">
            <w:pPr>
              <w:pStyle w:val="EMPTYCELLSTYLE"/>
            </w:pPr>
          </w:p>
        </w:tc>
      </w:tr>
    </w:tbl>
    <w:p w:rsidR="00201EAC" w:rsidRDefault="00201EAC"/>
    <w:sectPr w:rsidR="00201EAC" w:rsidSect="009F021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00"/>
  <w:characterSpacingControl w:val="doNotCompress"/>
  <w:compat/>
  <w:rsids>
    <w:rsidRoot w:val="009F0216"/>
    <w:rsid w:val="00201EAC"/>
    <w:rsid w:val="008630CC"/>
    <w:rsid w:val="009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F0216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2025-03-10T12:43:00Z</dcterms:created>
  <dcterms:modified xsi:type="dcterms:W3CDTF">2025-03-10T12:43:00Z</dcterms:modified>
</cp:coreProperties>
</file>